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0A" w:rsidRDefault="00450D0A" w:rsidP="0085291A">
      <w:pPr>
        <w:jc w:val="both"/>
        <w:rPr>
          <w:b/>
          <w:sz w:val="28"/>
          <w:szCs w:val="28"/>
        </w:rPr>
      </w:pPr>
    </w:p>
    <w:p w:rsidR="00E25BD4" w:rsidRPr="00A9015E" w:rsidRDefault="00ED3ADB" w:rsidP="008529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harmadik negyedévben tovább nőtt a</w:t>
      </w:r>
      <w:r w:rsidR="00CF5D24">
        <w:rPr>
          <w:b/>
          <w:sz w:val="28"/>
          <w:szCs w:val="28"/>
        </w:rPr>
        <w:t xml:space="preserve"> </w:t>
      </w:r>
      <w:proofErr w:type="spellStart"/>
      <w:r w:rsidR="00CF5D24">
        <w:rPr>
          <w:b/>
          <w:sz w:val="28"/>
          <w:szCs w:val="28"/>
        </w:rPr>
        <w:t>kockázatitőke-befektetések</w:t>
      </w:r>
      <w:proofErr w:type="spellEnd"/>
      <w:r w:rsidR="00CF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száma</w:t>
      </w:r>
    </w:p>
    <w:p w:rsidR="00E25BD4" w:rsidRDefault="00F12B20" w:rsidP="0085291A">
      <w:pPr>
        <w:jc w:val="both"/>
        <w:rPr>
          <w:b/>
        </w:rPr>
      </w:pPr>
      <w:r>
        <w:rPr>
          <w:b/>
        </w:rPr>
        <w:t>Budapest, 2014. december 10</w:t>
      </w:r>
      <w:r w:rsidR="00ED3ADB">
        <w:rPr>
          <w:b/>
        </w:rPr>
        <w:t>.</w:t>
      </w:r>
    </w:p>
    <w:p w:rsidR="00A8115B" w:rsidRDefault="00A50CB8" w:rsidP="0085291A">
      <w:pPr>
        <w:jc w:val="both"/>
        <w:rPr>
          <w:b/>
        </w:rPr>
      </w:pPr>
      <w:r>
        <w:rPr>
          <w:b/>
        </w:rPr>
        <w:t xml:space="preserve">A Magyar Kockázati- és Magántőke Egyesület (HVCA) </w:t>
      </w:r>
      <w:r w:rsidR="00ED3ADB">
        <w:rPr>
          <w:b/>
        </w:rPr>
        <w:t>harmadik</w:t>
      </w:r>
      <w:r>
        <w:rPr>
          <w:b/>
        </w:rPr>
        <w:t xml:space="preserve"> negyedéves jelentésének adatai szerint az időszak során </w:t>
      </w:r>
      <w:r w:rsidR="00ED3ADB">
        <w:rPr>
          <w:b/>
        </w:rPr>
        <w:t xml:space="preserve">24 </w:t>
      </w:r>
      <w:r>
        <w:rPr>
          <w:b/>
        </w:rPr>
        <w:t xml:space="preserve">lezárt </w:t>
      </w:r>
      <w:proofErr w:type="spellStart"/>
      <w:r>
        <w:rPr>
          <w:b/>
        </w:rPr>
        <w:t>kockázati</w:t>
      </w:r>
      <w:r w:rsidR="00ED3ADB">
        <w:rPr>
          <w:b/>
        </w:rPr>
        <w:t>tőke-b</w:t>
      </w:r>
      <w:r w:rsidR="00F40640">
        <w:rPr>
          <w:b/>
        </w:rPr>
        <w:t>efektetést</w:t>
      </w:r>
      <w:proofErr w:type="spellEnd"/>
      <w:r w:rsidR="00F40640">
        <w:rPr>
          <w:b/>
        </w:rPr>
        <w:t xml:space="preserve"> hajtottak végre, szemben az egy évvel korábbi 14-gyel. A befektetett </w:t>
      </w:r>
      <w:r w:rsidR="00F40640" w:rsidRPr="00CD3DBE">
        <w:rPr>
          <w:b/>
        </w:rPr>
        <w:t xml:space="preserve">összegek összértéke </w:t>
      </w:r>
      <w:r w:rsidR="00E11022" w:rsidRPr="00CD3DBE">
        <w:rPr>
          <w:b/>
        </w:rPr>
        <w:t>a megelőző év azonos időszakához képest</w:t>
      </w:r>
      <w:r w:rsidR="00F40640" w:rsidRPr="00CD3DBE">
        <w:rPr>
          <w:b/>
        </w:rPr>
        <w:t xml:space="preserve"> 1, 7 milliárd forintról több mint duplájára, 3,5 milliárd forintra emelkedett. </w:t>
      </w:r>
      <w:r w:rsidR="00EB1723" w:rsidRPr="00CD3DBE">
        <w:rPr>
          <w:b/>
        </w:rPr>
        <w:t xml:space="preserve">A befektetések </w:t>
      </w:r>
      <w:r w:rsidR="00F40640" w:rsidRPr="00CD3DBE">
        <w:rPr>
          <w:b/>
        </w:rPr>
        <w:t xml:space="preserve">több mint </w:t>
      </w:r>
      <w:r w:rsidR="00EB1723" w:rsidRPr="00CD3DBE">
        <w:rPr>
          <w:b/>
        </w:rPr>
        <w:t>háromnegyede ebben</w:t>
      </w:r>
      <w:r w:rsidR="00F40640" w:rsidRPr="00CD3DBE">
        <w:rPr>
          <w:b/>
        </w:rPr>
        <w:t xml:space="preserve"> az időszakban három</w:t>
      </w:r>
      <w:r w:rsidR="00DC2A60">
        <w:rPr>
          <w:b/>
        </w:rPr>
        <w:t xml:space="preserve"> szektorba, az </w:t>
      </w:r>
      <w:r w:rsidR="00F40640">
        <w:rPr>
          <w:b/>
        </w:rPr>
        <w:t xml:space="preserve">üzleti és ipari termékek, illetve szolgáltatások, valamint </w:t>
      </w:r>
      <w:r w:rsidR="00EB1723">
        <w:rPr>
          <w:b/>
        </w:rPr>
        <w:t xml:space="preserve">az élettudományokkal (például biotechnológia) foglalkozó cégekbe, túlnyomórészt </w:t>
      </w:r>
      <w:proofErr w:type="spellStart"/>
      <w:r w:rsidR="00EB1723">
        <w:rPr>
          <w:b/>
        </w:rPr>
        <w:t>startup-okba</w:t>
      </w:r>
      <w:proofErr w:type="spellEnd"/>
      <w:r w:rsidR="00EB1723">
        <w:rPr>
          <w:b/>
        </w:rPr>
        <w:t xml:space="preserve"> áramlott.</w:t>
      </w:r>
    </w:p>
    <w:p w:rsidR="002C7800" w:rsidRDefault="00F40640" w:rsidP="0085291A">
      <w:pPr>
        <w:jc w:val="both"/>
      </w:pPr>
      <w:r>
        <w:t>2014 júliusa és szeptembere között összesen 24</w:t>
      </w:r>
      <w:r w:rsidR="00EB1723">
        <w:t xml:space="preserve"> befektetési tranzakciót zártak Magy</w:t>
      </w:r>
      <w:r>
        <w:t xml:space="preserve">arországon a </w:t>
      </w:r>
      <w:proofErr w:type="spellStart"/>
      <w:r>
        <w:t>kockázati</w:t>
      </w:r>
      <w:r w:rsidR="00EB1723">
        <w:t>tőke</w:t>
      </w:r>
      <w:r>
        <w:t>-</w:t>
      </w:r>
      <w:r w:rsidR="00EB1723">
        <w:t>alapok</w:t>
      </w:r>
      <w:proofErr w:type="spellEnd"/>
      <w:r w:rsidR="00EB1723">
        <w:t xml:space="preserve">. </w:t>
      </w:r>
      <w:r>
        <w:t xml:space="preserve">Az időszak során </w:t>
      </w:r>
      <w:r w:rsidR="00BA1564" w:rsidRPr="00CD3DBE">
        <w:t>nagyobb méretű</w:t>
      </w:r>
      <w:r w:rsidR="00CD3DBE">
        <w:t>,</w:t>
      </w:r>
      <w:r w:rsidR="002A1821" w:rsidRPr="00CD3DBE">
        <w:t xml:space="preserve"> magántőke </w:t>
      </w:r>
      <w:r w:rsidR="00BA1564" w:rsidRPr="00CD3DBE">
        <w:t>(</w:t>
      </w:r>
      <w:proofErr w:type="spellStart"/>
      <w:r w:rsidR="00BA1564" w:rsidRPr="00CD3DBE">
        <w:t>private</w:t>
      </w:r>
      <w:proofErr w:type="spellEnd"/>
      <w:r w:rsidR="00BA1564" w:rsidRPr="00CD3DBE">
        <w:t xml:space="preserve"> </w:t>
      </w:r>
      <w:proofErr w:type="spellStart"/>
      <w:r w:rsidR="00BA1564" w:rsidRPr="00CD3DBE">
        <w:t>equity</w:t>
      </w:r>
      <w:proofErr w:type="spellEnd"/>
      <w:r w:rsidR="00BA1564" w:rsidRPr="00CD3DBE">
        <w:t xml:space="preserve">) </w:t>
      </w:r>
      <w:r w:rsidR="00364F6F" w:rsidRPr="00CD3DBE">
        <w:t>alapok</w:t>
      </w:r>
      <w:r w:rsidRPr="00CD3DBE">
        <w:t xml:space="preserve"> által</w:t>
      </w:r>
      <w:r>
        <w:t xml:space="preserve"> végrehajtott befektetésre nem került sor. </w:t>
      </w:r>
      <w:r w:rsidR="002A1821">
        <w:t>A</w:t>
      </w:r>
      <w:r w:rsidR="00E25910">
        <w:t xml:space="preserve">zonban </w:t>
      </w:r>
      <w:r w:rsidR="002A1821">
        <w:t xml:space="preserve">két </w:t>
      </w:r>
      <w:proofErr w:type="spellStart"/>
      <w:r w:rsidR="002A1821">
        <w:t>exit</w:t>
      </w:r>
      <w:proofErr w:type="spellEnd"/>
      <w:r w:rsidR="002A1821">
        <w:t xml:space="preserve"> </w:t>
      </w:r>
      <w:r w:rsidR="00261332">
        <w:t xml:space="preserve">is </w:t>
      </w:r>
      <w:r w:rsidR="002A1821">
        <w:t>megvalósult</w:t>
      </w:r>
      <w:r w:rsidR="00E25910">
        <w:t xml:space="preserve"> a harmadik negyedévben</w:t>
      </w:r>
      <w:r>
        <w:t xml:space="preserve">: mindkét esetben a menedzsment </w:t>
      </w:r>
      <w:r w:rsidRPr="00CD3DBE">
        <w:t xml:space="preserve">vásárolta ki </w:t>
      </w:r>
      <w:r w:rsidR="00364F6F" w:rsidRPr="00CD3DBE">
        <w:t xml:space="preserve">a </w:t>
      </w:r>
      <w:proofErr w:type="spellStart"/>
      <w:r w:rsidR="00BA1564" w:rsidRPr="00CD3DBE">
        <w:t>kockázati</w:t>
      </w:r>
      <w:r w:rsidR="00364F6F" w:rsidRPr="00CD3DBE">
        <w:t>tőke</w:t>
      </w:r>
      <w:r w:rsidR="00BA1564" w:rsidRPr="00CD3DBE">
        <w:t>-</w:t>
      </w:r>
      <w:r w:rsidR="00364F6F" w:rsidRPr="00CD3DBE">
        <w:t>befektetőt</w:t>
      </w:r>
      <w:proofErr w:type="spellEnd"/>
      <w:r w:rsidRPr="00CD3DBE">
        <w:t>.</w:t>
      </w:r>
    </w:p>
    <w:p w:rsidR="00BB3852" w:rsidRDefault="00C01B59" w:rsidP="00BB3852">
      <w:pPr>
        <w:jc w:val="center"/>
      </w:pPr>
      <w:r>
        <w:rPr>
          <w:noProof/>
        </w:rPr>
        <w:drawing>
          <wp:inline distT="0" distB="0" distL="0" distR="0">
            <wp:extent cx="4591050" cy="2762250"/>
            <wp:effectExtent l="19050" t="0" r="0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10" w:rsidRDefault="00E25910" w:rsidP="0085291A">
      <w:pPr>
        <w:jc w:val="both"/>
      </w:pPr>
      <w:r>
        <w:t xml:space="preserve">Az ügyletek átlagos értéke </w:t>
      </w:r>
      <w:r w:rsidR="00AC2E11">
        <w:t>148</w:t>
      </w:r>
      <w:r>
        <w:t xml:space="preserve"> millió forint volt, igen jelentős szórásban: </w:t>
      </w:r>
      <w:r w:rsidR="00AC2E11">
        <w:t xml:space="preserve">a </w:t>
      </w:r>
      <w:r>
        <w:t xml:space="preserve">legnagyobb öt tranzakció tette ki az összes befektetés </w:t>
      </w:r>
      <w:r w:rsidR="00AC2E11">
        <w:t>54</w:t>
      </w:r>
      <w:r w:rsidR="00311F09">
        <w:t xml:space="preserve"> százalékát, és tíz tranzakció volumene haladta meg a 100 millió forintot. </w:t>
      </w:r>
      <w:r>
        <w:t xml:space="preserve">A befektetett összegek </w:t>
      </w:r>
      <w:r w:rsidR="00AC2E11">
        <w:t>82</w:t>
      </w:r>
      <w:r>
        <w:t xml:space="preserve"> százalékát új </w:t>
      </w:r>
      <w:r w:rsidRPr="00CD3DBE">
        <w:t>befektetési célpontok</w:t>
      </w:r>
      <w:r w:rsidR="00AC2E11" w:rsidRPr="00CD3DBE">
        <w:t>ra költötték, a fennmaradó 18</w:t>
      </w:r>
      <w:r w:rsidRPr="00CD3DBE">
        <w:t xml:space="preserve"> </w:t>
      </w:r>
      <w:proofErr w:type="gramStart"/>
      <w:r w:rsidRPr="00CD3DBE">
        <w:t>százalék folytatólagos</w:t>
      </w:r>
      <w:proofErr w:type="gramEnd"/>
      <w:r w:rsidRPr="00CD3DBE">
        <w:t xml:space="preserve"> tőkeinjekciók formájában érkezett olyan korábbi befektetésekbe, amelyekben az érintett alapok </w:t>
      </w:r>
      <w:r w:rsidR="002A1821" w:rsidRPr="00CD3DBE">
        <w:t xml:space="preserve">már tulajdonrésszel rendelkeznek és továbbra is </w:t>
      </w:r>
      <w:r w:rsidR="00AA34B8" w:rsidRPr="00CD3DBE">
        <w:t>megfelelő növekedési potenciált</w:t>
      </w:r>
      <w:r w:rsidR="002A1821" w:rsidRPr="00CD3DBE">
        <w:t xml:space="preserve">, </w:t>
      </w:r>
      <w:r w:rsidR="00AA34B8" w:rsidRPr="00CD3DBE">
        <w:t xml:space="preserve">illetve </w:t>
      </w:r>
      <w:proofErr w:type="spellStart"/>
      <w:r w:rsidR="002A1821" w:rsidRPr="00CD3DBE">
        <w:t>exit</w:t>
      </w:r>
      <w:r w:rsidR="00CD3DBE">
        <w:t>-</w:t>
      </w:r>
      <w:r w:rsidR="002A1821" w:rsidRPr="00CD3DBE">
        <w:t>lehetőséget</w:t>
      </w:r>
      <w:proofErr w:type="spellEnd"/>
      <w:r w:rsidR="002A1821" w:rsidRPr="00CD3DBE">
        <w:t xml:space="preserve"> látnak</w:t>
      </w:r>
      <w:r w:rsidRPr="00CD3DBE">
        <w:t>.</w:t>
      </w:r>
    </w:p>
    <w:p w:rsidR="00EF7EB2" w:rsidRDefault="00EF7EB2" w:rsidP="00311F09">
      <w:pPr>
        <w:jc w:val="both"/>
      </w:pPr>
      <w:r>
        <w:t>„A</w:t>
      </w:r>
      <w:r w:rsidR="00CB14C9">
        <w:t xml:space="preserve"> második</w:t>
      </w:r>
      <w:r w:rsidR="00622986">
        <w:t xml:space="preserve"> negyedévben </w:t>
      </w:r>
      <w:r w:rsidR="00586370">
        <w:t>megvalósult</w:t>
      </w:r>
      <w:r w:rsidR="00CB14C9">
        <w:t xml:space="preserve"> </w:t>
      </w:r>
      <w:r w:rsidR="00586370">
        <w:t xml:space="preserve">és az átlaghoz képest </w:t>
      </w:r>
      <w:r w:rsidR="00CB14C9">
        <w:t>nagy</w:t>
      </w:r>
      <w:r w:rsidR="00586370">
        <w:t>obb</w:t>
      </w:r>
      <w:r w:rsidR="00CB14C9">
        <w:t xml:space="preserve"> </w:t>
      </w:r>
      <w:r w:rsidR="00586370">
        <w:t xml:space="preserve">értékű </w:t>
      </w:r>
      <w:r w:rsidR="00CB14C9">
        <w:t>tranzakcióknak köszönhető</w:t>
      </w:r>
      <w:r w:rsidR="00261332">
        <w:t xml:space="preserve"> </w:t>
      </w:r>
      <w:r w:rsidR="00CB14C9">
        <w:t>kiugrás után a tőkealap-befektetések összértéke visszatért a fokozatos növekedést mutató trendvonalra</w:t>
      </w:r>
      <w:r w:rsidR="00586370">
        <w:t xml:space="preserve">, </w:t>
      </w:r>
      <w:r w:rsidR="00AA34B8">
        <w:t>miközben a</w:t>
      </w:r>
      <w:r w:rsidR="00586370">
        <w:t xml:space="preserve"> tranzakció</w:t>
      </w:r>
      <w:r w:rsidR="00AA34B8">
        <w:t>k</w:t>
      </w:r>
      <w:r w:rsidR="00586370">
        <w:t xml:space="preserve"> átlag</w:t>
      </w:r>
      <w:r w:rsidR="00AA34B8">
        <w:t xml:space="preserve">os </w:t>
      </w:r>
      <w:r w:rsidR="00586370">
        <w:t>méret</w:t>
      </w:r>
      <w:r w:rsidR="00AA34B8">
        <w:t>e</w:t>
      </w:r>
      <w:r w:rsidR="00586370">
        <w:t xml:space="preserve"> is visszaállt a korábban látott 140</w:t>
      </w:r>
      <w:r w:rsidR="00AA34B8">
        <w:t>-150</w:t>
      </w:r>
      <w:r w:rsidR="00586370">
        <w:t xml:space="preserve"> </w:t>
      </w:r>
      <w:r w:rsidR="00586370">
        <w:lastRenderedPageBreak/>
        <w:t>m</w:t>
      </w:r>
      <w:r w:rsidR="00AA34B8">
        <w:t>illió forin</w:t>
      </w:r>
      <w:r w:rsidR="00586370">
        <w:t xml:space="preserve">t körüli, de </w:t>
      </w:r>
      <w:r w:rsidR="00B9374C">
        <w:t>negyedévről-negyedévre</w:t>
      </w:r>
      <w:r w:rsidR="00586370">
        <w:t xml:space="preserve"> növekedő átlagértékre</w:t>
      </w:r>
      <w:r>
        <w:t xml:space="preserve"> – mutat rá </w:t>
      </w:r>
      <w:r w:rsidR="00CB14C9">
        <w:t>Ferke</w:t>
      </w:r>
      <w:r w:rsidR="00CB14C9" w:rsidRPr="00CB14C9">
        <w:t xml:space="preserve"> János, a HVCA elnökségi tagja, a Docler Investments Kft. befektetési menedzsere. –</w:t>
      </w:r>
      <w:r w:rsidR="00622986">
        <w:t>A</w:t>
      </w:r>
      <w:r w:rsidR="005114D6">
        <w:t xml:space="preserve"> </w:t>
      </w:r>
      <w:proofErr w:type="spellStart"/>
      <w:r w:rsidR="005114D6">
        <w:t>Jeremie-alapok</w:t>
      </w:r>
      <w:proofErr w:type="spellEnd"/>
      <w:r w:rsidR="005114D6">
        <w:t xml:space="preserve"> által támogatott cégek másodkörös befektetései</w:t>
      </w:r>
      <w:r w:rsidR="00622986">
        <w:t>nek fokozatos megjelenése tovább erősítheti a befektetői aktivitást a következő időszakokban</w:t>
      </w:r>
      <w:r w:rsidR="00CA71FC">
        <w:t xml:space="preserve"> is</w:t>
      </w:r>
      <w:r w:rsidR="008F5E11">
        <w:t xml:space="preserve">. </w:t>
      </w:r>
      <w:r w:rsidR="00AA34B8">
        <w:t>Jelzésértékű azonban, hogy miközben</w:t>
      </w:r>
      <w:r w:rsidR="00B9374C">
        <w:t xml:space="preserve"> </w:t>
      </w:r>
      <w:r w:rsidR="00AA34B8">
        <w:t xml:space="preserve">a </w:t>
      </w:r>
      <w:r w:rsidR="00DB26D9">
        <w:t xml:space="preserve">magántőkealapok a </w:t>
      </w:r>
      <w:r w:rsidR="00AA34B8">
        <w:t xml:space="preserve">lengyel és cseh piacokon </w:t>
      </w:r>
      <w:r w:rsidR="00B9374C">
        <w:t>nagy kivásárlási (</w:t>
      </w:r>
      <w:proofErr w:type="spellStart"/>
      <w:r w:rsidR="00B9374C">
        <w:t>Buyout</w:t>
      </w:r>
      <w:proofErr w:type="spellEnd"/>
      <w:r w:rsidR="00B9374C">
        <w:t xml:space="preserve">) </w:t>
      </w:r>
      <w:r w:rsidR="00AA34B8">
        <w:t>és</w:t>
      </w:r>
      <w:r w:rsidR="00B9374C">
        <w:t xml:space="preserve"> növekedést finanszírozó (</w:t>
      </w:r>
      <w:proofErr w:type="spellStart"/>
      <w:r w:rsidR="00B9374C">
        <w:t>Growth</w:t>
      </w:r>
      <w:proofErr w:type="spellEnd"/>
      <w:r w:rsidR="00B9374C">
        <w:t>) tranzakciók</w:t>
      </w:r>
      <w:r w:rsidR="00DB26D9">
        <w:t>at hajtanak végre</w:t>
      </w:r>
      <w:r w:rsidR="00B9374C">
        <w:t xml:space="preserve"> az utóbbi időszakokban, </w:t>
      </w:r>
      <w:r w:rsidR="00DB26D9">
        <w:t xml:space="preserve">Magyarországon </w:t>
      </w:r>
      <w:r w:rsidR="001D4D76">
        <w:t xml:space="preserve">a </w:t>
      </w:r>
      <w:r w:rsidR="00B9374C">
        <w:t>főleg</w:t>
      </w:r>
      <w:r w:rsidR="008F5E11">
        <w:t xml:space="preserve"> külföldi forrásokat kezelő </w:t>
      </w:r>
      <w:r w:rsidR="00B9374C">
        <w:t xml:space="preserve">(és későbbi életszakaszba fektető) </w:t>
      </w:r>
      <w:r w:rsidR="00622986">
        <w:t>magántőke-alapok</w:t>
      </w:r>
      <w:r w:rsidR="00B9374C">
        <w:t xml:space="preserve">tól </w:t>
      </w:r>
      <w:r w:rsidR="00DB26D9">
        <w:t xml:space="preserve">a harmadik negyedévben nem láttunk </w:t>
      </w:r>
      <w:r w:rsidR="00B9374C">
        <w:t>tranzakciót. Ennek okai biztosan összetettek, de az aktivitás</w:t>
      </w:r>
      <w:r w:rsidR="00DB26D9">
        <w:t>t</w:t>
      </w:r>
      <w:r w:rsidR="00B9374C">
        <w:t xml:space="preserve"> erősítheti, ha</w:t>
      </w:r>
      <w:r w:rsidR="0005221B">
        <w:t xml:space="preserve"> </w:t>
      </w:r>
      <w:r w:rsidR="00DB26D9">
        <w:t xml:space="preserve">a szabályozói oldalról is egyértelmű lépések biztosítják, hogy </w:t>
      </w:r>
      <w:r w:rsidR="0005221B">
        <w:t xml:space="preserve">a hazai befektetési és gazdasági környezet megbízható </w:t>
      </w:r>
      <w:r w:rsidR="00622986">
        <w:t xml:space="preserve">és hosszú távon is </w:t>
      </w:r>
      <w:r w:rsidR="0005221B">
        <w:t xml:space="preserve">kiszámítható. </w:t>
      </w:r>
    </w:p>
    <w:p w:rsidR="00311F09" w:rsidRPr="00311F09" w:rsidRDefault="00311F09" w:rsidP="0031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311F09">
        <w:rPr>
          <w:sz w:val="18"/>
          <w:szCs w:val="18"/>
        </w:rPr>
        <w:t xml:space="preserve">Amint arról a HVCA korábban beszámolt, az European </w:t>
      </w:r>
      <w:proofErr w:type="spellStart"/>
      <w:r w:rsidRPr="00311F09">
        <w:rPr>
          <w:sz w:val="18"/>
          <w:szCs w:val="18"/>
        </w:rPr>
        <w:t>Private</w:t>
      </w:r>
      <w:proofErr w:type="spellEnd"/>
      <w:r w:rsidRPr="00311F09">
        <w:rPr>
          <w:sz w:val="18"/>
          <w:szCs w:val="18"/>
        </w:rPr>
        <w:t xml:space="preserve"> </w:t>
      </w:r>
      <w:r w:rsidRPr="00CD3DBE">
        <w:rPr>
          <w:sz w:val="18"/>
          <w:szCs w:val="18"/>
        </w:rPr>
        <w:t xml:space="preserve">Equity &amp; </w:t>
      </w:r>
      <w:proofErr w:type="spellStart"/>
      <w:r w:rsidRPr="00CD3DBE">
        <w:rPr>
          <w:sz w:val="18"/>
          <w:szCs w:val="18"/>
        </w:rPr>
        <w:t>Venture</w:t>
      </w:r>
      <w:proofErr w:type="spellEnd"/>
      <w:r w:rsidRPr="00CD3DBE">
        <w:rPr>
          <w:sz w:val="18"/>
          <w:szCs w:val="18"/>
        </w:rPr>
        <w:t xml:space="preserve"> Capital </w:t>
      </w:r>
      <w:proofErr w:type="spellStart"/>
      <w:r w:rsidRPr="00CD3DBE">
        <w:rPr>
          <w:sz w:val="18"/>
          <w:szCs w:val="18"/>
        </w:rPr>
        <w:t>Association</w:t>
      </w:r>
      <w:proofErr w:type="spellEnd"/>
      <w:r w:rsidRPr="00CD3DBE">
        <w:rPr>
          <w:sz w:val="18"/>
          <w:szCs w:val="18"/>
        </w:rPr>
        <w:t xml:space="preserve"> (EVCA) 2013-as régiós adatai szerint a kelet-közép-európai régióba</w:t>
      </w:r>
      <w:r w:rsidR="009940E6" w:rsidRPr="00CD3DBE">
        <w:rPr>
          <w:sz w:val="18"/>
          <w:szCs w:val="18"/>
        </w:rPr>
        <w:t>n megvalósuló</w:t>
      </w:r>
      <w:r w:rsidRPr="00CD3DBE">
        <w:rPr>
          <w:sz w:val="18"/>
          <w:szCs w:val="18"/>
        </w:rPr>
        <w:t xml:space="preserve"> </w:t>
      </w:r>
      <w:r w:rsidR="00405812">
        <w:rPr>
          <w:sz w:val="18"/>
          <w:szCs w:val="18"/>
        </w:rPr>
        <w:t xml:space="preserve">kockázati és </w:t>
      </w:r>
      <w:r w:rsidRPr="00CD3DBE">
        <w:rPr>
          <w:sz w:val="18"/>
          <w:szCs w:val="18"/>
        </w:rPr>
        <w:t>magántőke-befektetéseknek</w:t>
      </w:r>
      <w:r w:rsidR="00364F6F" w:rsidRPr="00CD3DBE">
        <w:rPr>
          <w:sz w:val="18"/>
          <w:szCs w:val="18"/>
        </w:rPr>
        <w:t xml:space="preserve"> </w:t>
      </w:r>
      <w:r w:rsidRPr="00CD3DBE">
        <w:rPr>
          <w:sz w:val="18"/>
          <w:szCs w:val="18"/>
        </w:rPr>
        <w:t>tavaly</w:t>
      </w:r>
      <w:r w:rsidRPr="00311F09">
        <w:rPr>
          <w:sz w:val="18"/>
          <w:szCs w:val="18"/>
        </w:rPr>
        <w:t xml:space="preserve"> mindössze 7 százaléka (57 millió euró) érkezett magyarországi cégekhez. Lengyelország (380 millió euró- 49 százalék) és Csehország (134 millió euró – 17 százalék) mellett immár Románia (70 millió euró – 9 százalék) is megelőzött bennünket ezen a téren. Ugyanakkor a régió országai közül Magyarország (17 millió euró) továbbra is vezette a </w:t>
      </w:r>
      <w:r w:rsidR="00B9374C">
        <w:rPr>
          <w:sz w:val="18"/>
          <w:szCs w:val="18"/>
        </w:rPr>
        <w:t xml:space="preserve">(korábbi életszakaszba fektető) </w:t>
      </w:r>
      <w:proofErr w:type="spellStart"/>
      <w:r w:rsidRPr="00311F09">
        <w:rPr>
          <w:sz w:val="18"/>
          <w:szCs w:val="18"/>
        </w:rPr>
        <w:t>kockázatitőke-befektetések</w:t>
      </w:r>
      <w:proofErr w:type="spellEnd"/>
      <w:r w:rsidRPr="00311F09">
        <w:rPr>
          <w:sz w:val="18"/>
          <w:szCs w:val="18"/>
        </w:rPr>
        <w:t xml:space="preserve"> rangsorát Lengyelország (16 millió</w:t>
      </w:r>
      <w:r w:rsidR="001D4D76">
        <w:rPr>
          <w:sz w:val="18"/>
          <w:szCs w:val="18"/>
        </w:rPr>
        <w:t xml:space="preserve"> euró) és a balti államok előtt.</w:t>
      </w:r>
    </w:p>
    <w:p w:rsidR="00450D0A" w:rsidRDefault="00311F09" w:rsidP="00311F09">
      <w:pPr>
        <w:jc w:val="both"/>
      </w:pPr>
      <w:r>
        <w:t>Az</w:t>
      </w:r>
      <w:r w:rsidR="0093166C">
        <w:t xml:space="preserve"> idei harma</w:t>
      </w:r>
      <w:r w:rsidR="00450D0A">
        <w:t>dik negyedé</w:t>
      </w:r>
      <w:r w:rsidR="00CA71FC">
        <w:t>vben az összes tőkebefektetés 30 százaléka áramlott az üzleti és ipari szolgáltatások, míg további 29 százaléka az ugyanezen területekhez kapcsolódó termékek szektoraiba. Az érintett alapok további 17 százalék</w:t>
      </w:r>
      <w:r w:rsidR="00450D0A">
        <w:t xml:space="preserve">nyi részt fektettek különféle élettudományokkal foglalkozó cégekbe, </w:t>
      </w:r>
      <w:r w:rsidR="00CA71FC">
        <w:t>vagyis az említett három szektor részesedett ebben az időszakban</w:t>
      </w:r>
      <w:r w:rsidR="005114D6">
        <w:t xml:space="preserve"> a tőke</w:t>
      </w:r>
      <w:r w:rsidR="00450D0A">
        <w:t>befektetések</w:t>
      </w:r>
      <w:r w:rsidR="00CA71FC">
        <w:t xml:space="preserve"> 76 százalékából</w:t>
      </w:r>
      <w:r w:rsidR="00450D0A">
        <w:t>.</w:t>
      </w:r>
      <w:bookmarkStart w:id="0" w:name="_GoBack"/>
      <w:bookmarkEnd w:id="0"/>
    </w:p>
    <w:p w:rsidR="00450D0A" w:rsidRDefault="00CA71FC" w:rsidP="00450D0A">
      <w:pPr>
        <w:jc w:val="center"/>
      </w:pPr>
      <w:r>
        <w:rPr>
          <w:noProof/>
        </w:rPr>
        <w:drawing>
          <wp:inline distT="0" distB="0" distL="0" distR="0">
            <wp:extent cx="4591050" cy="2762250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AA" w:rsidRPr="00B647AD" w:rsidRDefault="005114D6" w:rsidP="00B647AD">
      <w:pPr>
        <w:jc w:val="both"/>
      </w:pPr>
      <w:r>
        <w:t>„</w:t>
      </w:r>
      <w:r w:rsidR="009B64E7">
        <w:t>A</w:t>
      </w:r>
      <w:r>
        <w:t xml:space="preserve"> biotech</w:t>
      </w:r>
      <w:r w:rsidR="002A1821">
        <w:t>nológia</w:t>
      </w:r>
      <w:r>
        <w:t xml:space="preserve"> szektor</w:t>
      </w:r>
      <w:r w:rsidR="009B64E7">
        <w:t xml:space="preserve"> negyedévről negyedévre folyamatosan az első három befektetési terület között szerepel az összesítésekben</w:t>
      </w:r>
      <w:r>
        <w:t xml:space="preserve"> – </w:t>
      </w:r>
      <w:r w:rsidR="00DB26D9">
        <w:t>hangsúlyozza</w:t>
      </w:r>
      <w:r w:rsidR="009B64E7">
        <w:t xml:space="preserve"> Szombati András, a</w:t>
      </w:r>
      <w:r>
        <w:t xml:space="preserve"> HVCA elnökségi tagja, a</w:t>
      </w:r>
      <w:r w:rsidR="009B64E7">
        <w:t xml:space="preserve"> </w:t>
      </w:r>
      <w:proofErr w:type="spellStart"/>
      <w:r w:rsidR="009B64E7">
        <w:t>Primus</w:t>
      </w:r>
      <w:proofErr w:type="spellEnd"/>
      <w:r w:rsidR="009B64E7">
        <w:t xml:space="preserve"> Capital Kockázati és Tőkealap-kezelő Zrt. partnere</w:t>
      </w:r>
      <w:r>
        <w:t xml:space="preserve">. </w:t>
      </w:r>
      <w:r w:rsidR="00DB26D9">
        <w:t>–</w:t>
      </w:r>
      <w:r w:rsidR="00870970">
        <w:t xml:space="preserve"> </w:t>
      </w:r>
      <w:r w:rsidR="00C10632">
        <w:t xml:space="preserve">A </w:t>
      </w:r>
      <w:proofErr w:type="spellStart"/>
      <w:r w:rsidR="00C10632">
        <w:t>biotech</w:t>
      </w:r>
      <w:proofErr w:type="spellEnd"/>
      <w:r w:rsidR="00C10632">
        <w:t xml:space="preserve"> befektetések ilyen előkelő helye önmagában </w:t>
      </w:r>
      <w:r w:rsidR="00DB26D9">
        <w:t xml:space="preserve">is örvendetes, hiszen a </w:t>
      </w:r>
      <w:proofErr w:type="spellStart"/>
      <w:r w:rsidR="00DB26D9">
        <w:t>Jeremie-</w:t>
      </w:r>
      <w:r w:rsidR="00C10632">
        <w:t>programot</w:t>
      </w:r>
      <w:proofErr w:type="spellEnd"/>
      <w:r w:rsidR="00C10632">
        <w:t xml:space="preserve"> megelőző időszakban </w:t>
      </w:r>
      <w:r w:rsidR="00DB26D9">
        <w:t xml:space="preserve">ilyen irányú </w:t>
      </w:r>
      <w:r w:rsidR="00C10632">
        <w:t>befektetést csak elvétve hajto</w:t>
      </w:r>
      <w:r w:rsidR="00DB26D9">
        <w:t xml:space="preserve">ttak végre </w:t>
      </w:r>
      <w:proofErr w:type="spellStart"/>
      <w:r w:rsidR="00DB26D9">
        <w:t>kockázati</w:t>
      </w:r>
      <w:r w:rsidR="00C10632">
        <w:t>tőke</w:t>
      </w:r>
      <w:r w:rsidR="00DB26D9">
        <w:t>-</w:t>
      </w:r>
      <w:r w:rsidR="00C10632">
        <w:t>alapok</w:t>
      </w:r>
      <w:proofErr w:type="spellEnd"/>
      <w:r w:rsidR="00C10632">
        <w:t xml:space="preserve">. A </w:t>
      </w:r>
      <w:proofErr w:type="spellStart"/>
      <w:r w:rsidR="00C10632">
        <w:t>biotech</w:t>
      </w:r>
      <w:proofErr w:type="spellEnd"/>
      <w:r w:rsidR="00C10632">
        <w:t xml:space="preserve"> befektetések finanszírozása általában hosszabb ideig tart, és a projektek tőkeigénye is meghaladja az iparági átlagot. Ugyanakkor a magas </w:t>
      </w:r>
      <w:r w:rsidR="00C10632">
        <w:lastRenderedPageBreak/>
        <w:t>felvállalt kockázat mellett</w:t>
      </w:r>
      <w:r w:rsidR="00DB26D9">
        <w:t xml:space="preserve"> e</w:t>
      </w:r>
      <w:r w:rsidR="003F4010">
        <w:t xml:space="preserve"> befektetések esetén nemzetközi </w:t>
      </w:r>
      <w:proofErr w:type="spellStart"/>
      <w:r w:rsidR="003F4010">
        <w:t>exit</w:t>
      </w:r>
      <w:proofErr w:type="spellEnd"/>
      <w:r w:rsidR="003F4010">
        <w:t xml:space="preserve"> lehetőség</w:t>
      </w:r>
      <w:r w:rsidR="00DB26D9">
        <w:t>e</w:t>
      </w:r>
      <w:r w:rsidR="003F4010">
        <w:t xml:space="preserve"> és átlag feletti hoza</w:t>
      </w:r>
      <w:r w:rsidR="00DB26D9">
        <w:t xml:space="preserve">m elérése motiválja a </w:t>
      </w:r>
      <w:proofErr w:type="spellStart"/>
      <w:r w:rsidR="00DB26D9">
        <w:t>kockázati</w:t>
      </w:r>
      <w:r w:rsidR="003F4010">
        <w:t>tőke</w:t>
      </w:r>
      <w:r w:rsidR="00DB26D9">
        <w:t>-</w:t>
      </w:r>
      <w:r w:rsidR="003F4010">
        <w:t>befektetőket</w:t>
      </w:r>
      <w:proofErr w:type="spellEnd"/>
      <w:r w:rsidR="003F4010">
        <w:t>.</w:t>
      </w:r>
      <w:r w:rsidR="005E48FE">
        <w:t>”</w:t>
      </w:r>
    </w:p>
    <w:p w:rsidR="0053600F" w:rsidRPr="0053600F" w:rsidRDefault="0053600F" w:rsidP="0053600F">
      <w:pPr>
        <w:pStyle w:val="Listaszerbekezds"/>
        <w:autoSpaceDE w:val="0"/>
        <w:autoSpaceDN w:val="0"/>
        <w:spacing w:before="120" w:after="100" w:afterAutospacing="1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- o -</w:t>
      </w:r>
    </w:p>
    <w:p w:rsidR="00781DA4" w:rsidRPr="00781DA4" w:rsidRDefault="00781DA4" w:rsidP="00781DA4">
      <w:pPr>
        <w:autoSpaceDE w:val="0"/>
        <w:autoSpaceDN w:val="0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81DA4">
        <w:rPr>
          <w:rFonts w:ascii="Calibri" w:eastAsia="Times New Roman" w:hAnsi="Calibri" w:cs="Times New Roman"/>
          <w:b/>
          <w:bCs/>
        </w:rPr>
        <w:t xml:space="preserve">A </w:t>
      </w:r>
      <w:proofErr w:type="spellStart"/>
      <w:r w:rsidRPr="00781DA4">
        <w:rPr>
          <w:rFonts w:ascii="Calibri" w:eastAsia="Times New Roman" w:hAnsi="Calibri" w:cs="Times New Roman"/>
          <w:b/>
          <w:bCs/>
        </w:rPr>
        <w:t>HVCA-ról</w:t>
      </w:r>
      <w:proofErr w:type="spellEnd"/>
    </w:p>
    <w:p w:rsidR="00781DA4" w:rsidRPr="00781DA4" w:rsidRDefault="00781DA4" w:rsidP="00781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81DA4">
        <w:rPr>
          <w:rFonts w:ascii="Calibri" w:eastAsia="Times New Roman" w:hAnsi="Calibri" w:cs="Times New Roman"/>
        </w:rPr>
        <w:t>A Magyar Kockázati- és Magántőke Egyesület (HVCA) a magántőke és kockázati tőke szektor érdekeit képviseli Magyarországon. A HVCA szolgáltatásaival, eseményeivel folyamatosan támogatja a tagjait, valamint ösztönzi az iparág szereplőit a legmagasabb szintű szakmai és etikai mércék betartására.</w:t>
      </w:r>
    </w:p>
    <w:p w:rsidR="00781DA4" w:rsidRPr="00781DA4" w:rsidRDefault="00781DA4" w:rsidP="00781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81DA4">
        <w:rPr>
          <w:rFonts w:ascii="Calibri" w:eastAsia="Times New Roman" w:hAnsi="Calibri" w:cs="Times New Roman"/>
        </w:rPr>
        <w:t xml:space="preserve">Az 1991-ben létrejött </w:t>
      </w:r>
      <w:proofErr w:type="spellStart"/>
      <w:r w:rsidRPr="00781DA4">
        <w:rPr>
          <w:rFonts w:ascii="Calibri" w:eastAsia="Times New Roman" w:hAnsi="Calibri" w:cs="Times New Roman"/>
        </w:rPr>
        <w:t>HVCA-t</w:t>
      </w:r>
      <w:proofErr w:type="spellEnd"/>
      <w:r w:rsidRPr="00781DA4">
        <w:rPr>
          <w:rFonts w:ascii="Calibri" w:eastAsia="Times New Roman" w:hAnsi="Calibri" w:cs="Times New Roman"/>
        </w:rPr>
        <w:t xml:space="preserve"> jelenleg a KKE régió egyik legdinamikusabb és legaktívabb szakmai szervezeteként ismerik. A HVCA tagjai közé tartozik a szektor összes jelentős, tőzsdén nem jegyzett társaságokkal foglalkozó befektetője és tanácsadója. A HVCA rendszeres fórumot biztosít a tagjai közötti véleménycserére, valamint a kockázati és magántőke szektor egyes lényeges témáit érintő, illetve a jövőbeli tendenciákkal kapcsolatos magas szintű párbeszédre. Mint a szektor egyetlen és legjelentősebb képviselője, folyamatos párbeszédet folytat Magyarország törvényhozó és pénzügyi intézményeivel, valamint más szakmai szervezetekkel.</w:t>
      </w:r>
    </w:p>
    <w:p w:rsidR="00781DA4" w:rsidRPr="00781DA4" w:rsidRDefault="00B61255" w:rsidP="0078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tgtFrame="_blank" w:history="1">
        <w:r w:rsidR="00781DA4" w:rsidRPr="00781DA4">
          <w:rPr>
            <w:rFonts w:ascii="Calibri" w:eastAsia="Times New Roman" w:hAnsi="Calibri" w:cs="Times New Roman"/>
            <w:color w:val="1468B2"/>
            <w:u w:val="single"/>
          </w:rPr>
          <w:t>www.hvca.hu</w:t>
        </w:r>
      </w:hyperlink>
      <w:r w:rsidR="00781DA4" w:rsidRPr="00781DA4">
        <w:rPr>
          <w:rFonts w:ascii="Calibri" w:eastAsia="Times New Roman" w:hAnsi="Calibri" w:cs="Times New Roman"/>
          <w:color w:val="1468B2"/>
        </w:rPr>
        <w:t xml:space="preserve"> | </w:t>
      </w:r>
      <w:hyperlink r:id="rId12" w:history="1">
        <w:r w:rsidR="00781DA4" w:rsidRPr="00781DA4">
          <w:rPr>
            <w:rStyle w:val="Hiperhivatkozs"/>
            <w:rFonts w:ascii="Calibri" w:eastAsia="Times New Roman" w:hAnsi="Calibri" w:cs="Times New Roman"/>
          </w:rPr>
          <w:t>hvca@hvca.hu</w:t>
        </w:r>
      </w:hyperlink>
    </w:p>
    <w:p w:rsidR="00781DA4" w:rsidRDefault="00781DA4" w:rsidP="001D30F0"/>
    <w:p w:rsidR="00E9653A" w:rsidRPr="00D54061" w:rsidRDefault="00E9653A" w:rsidP="00E9653A">
      <w:pPr>
        <w:pStyle w:val="Nincstrkz"/>
        <w:rPr>
          <w:b/>
        </w:rPr>
      </w:pPr>
      <w:r w:rsidRPr="00D54061">
        <w:rPr>
          <w:b/>
        </w:rPr>
        <w:t>További információ:</w:t>
      </w:r>
    </w:p>
    <w:p w:rsidR="00E9653A" w:rsidRDefault="00E9653A" w:rsidP="00E9653A">
      <w:pPr>
        <w:pStyle w:val="Nincstrkz"/>
      </w:pPr>
      <w:r>
        <w:t>Varga Péter</w:t>
      </w:r>
    </w:p>
    <w:p w:rsidR="00E9653A" w:rsidRDefault="00E9653A" w:rsidP="00E9653A">
      <w:pPr>
        <w:pStyle w:val="Nincstrkz"/>
      </w:pPr>
      <w:proofErr w:type="spellStart"/>
      <w:r>
        <w:t>Target</w:t>
      </w:r>
      <w:proofErr w:type="spellEnd"/>
      <w:r>
        <w:t xml:space="preserve"> </w:t>
      </w:r>
      <w:proofErr w:type="spellStart"/>
      <w:r>
        <w:t>Communiations</w:t>
      </w:r>
      <w:proofErr w:type="spellEnd"/>
    </w:p>
    <w:p w:rsidR="0053600F" w:rsidRDefault="0053600F" w:rsidP="00E9653A">
      <w:pPr>
        <w:pStyle w:val="Nincstrkz"/>
      </w:pPr>
      <w:r>
        <w:t>Telefon: +3630 328 7186</w:t>
      </w:r>
    </w:p>
    <w:p w:rsidR="00E9653A" w:rsidRDefault="0053600F" w:rsidP="00E9653A">
      <w:pPr>
        <w:pStyle w:val="Nincstrkz"/>
      </w:pPr>
      <w:proofErr w:type="gramStart"/>
      <w:r>
        <w:t>e-mail</w:t>
      </w:r>
      <w:proofErr w:type="gramEnd"/>
      <w:r>
        <w:t xml:space="preserve">: </w:t>
      </w:r>
      <w:hyperlink r:id="rId13" w:history="1">
        <w:r w:rsidRPr="00482A3E">
          <w:rPr>
            <w:rStyle w:val="Hiperhivatkozs"/>
          </w:rPr>
          <w:t>varga@targetcom.hu</w:t>
        </w:r>
      </w:hyperlink>
    </w:p>
    <w:p w:rsidR="0053600F" w:rsidRDefault="0053600F" w:rsidP="00E9653A">
      <w:pPr>
        <w:pStyle w:val="Nincstrkz"/>
      </w:pPr>
    </w:p>
    <w:sectPr w:rsidR="0053600F" w:rsidSect="00D053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5B456" w15:done="0"/>
  <w15:commentEx w15:paraId="697433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55" w:rsidRDefault="00B61255" w:rsidP="00450D0A">
      <w:pPr>
        <w:spacing w:after="0" w:line="240" w:lineRule="auto"/>
      </w:pPr>
      <w:r>
        <w:separator/>
      </w:r>
    </w:p>
  </w:endnote>
  <w:endnote w:type="continuationSeparator" w:id="0">
    <w:p w:rsidR="00B61255" w:rsidRDefault="00B61255" w:rsidP="0045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55" w:rsidRDefault="00B61255" w:rsidP="00450D0A">
      <w:pPr>
        <w:spacing w:after="0" w:line="240" w:lineRule="auto"/>
      </w:pPr>
      <w:r>
        <w:separator/>
      </w:r>
    </w:p>
  </w:footnote>
  <w:footnote w:type="continuationSeparator" w:id="0">
    <w:p w:rsidR="00B61255" w:rsidRDefault="00B61255" w:rsidP="0045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0A" w:rsidRDefault="00450D0A">
    <w:pPr>
      <w:pStyle w:val="lfej"/>
    </w:pPr>
    <w:r w:rsidRPr="00450D0A">
      <w:rPr>
        <w:noProof/>
      </w:rPr>
      <w:drawing>
        <wp:inline distT="0" distB="0" distL="0" distR="0">
          <wp:extent cx="4819650" cy="541713"/>
          <wp:effectExtent l="19050" t="0" r="0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41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4D6" w:rsidRDefault="005114D6">
    <w:pPr>
      <w:pStyle w:val="lfej"/>
    </w:pPr>
  </w:p>
  <w:p w:rsidR="005114D6" w:rsidRDefault="005114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826"/>
    <w:multiLevelType w:val="hybridMultilevel"/>
    <w:tmpl w:val="3196D4D2"/>
    <w:lvl w:ilvl="0" w:tplc="9356BA6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ke János">
    <w15:presenceInfo w15:providerId="AD" w15:userId="S-1-5-21-3237965821-3885295626-2287477099-7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A"/>
    <w:rsid w:val="00044218"/>
    <w:rsid w:val="0005221B"/>
    <w:rsid w:val="00052FE0"/>
    <w:rsid w:val="000646A0"/>
    <w:rsid w:val="00066FB4"/>
    <w:rsid w:val="0008598D"/>
    <w:rsid w:val="000B463D"/>
    <w:rsid w:val="000E4DC3"/>
    <w:rsid w:val="00105F7D"/>
    <w:rsid w:val="00113D48"/>
    <w:rsid w:val="00171CA6"/>
    <w:rsid w:val="001C5642"/>
    <w:rsid w:val="001D30F0"/>
    <w:rsid w:val="001D4D76"/>
    <w:rsid w:val="001E6DB4"/>
    <w:rsid w:val="001F6EAC"/>
    <w:rsid w:val="0021193F"/>
    <w:rsid w:val="00261332"/>
    <w:rsid w:val="00264A53"/>
    <w:rsid w:val="00265B99"/>
    <w:rsid w:val="00267EE4"/>
    <w:rsid w:val="002A1821"/>
    <w:rsid w:val="002A4BD3"/>
    <w:rsid w:val="002C7800"/>
    <w:rsid w:val="002E33A1"/>
    <w:rsid w:val="002F33AD"/>
    <w:rsid w:val="002F4364"/>
    <w:rsid w:val="00302249"/>
    <w:rsid w:val="003051E4"/>
    <w:rsid w:val="00311F09"/>
    <w:rsid w:val="00333FA1"/>
    <w:rsid w:val="00344003"/>
    <w:rsid w:val="00364F6F"/>
    <w:rsid w:val="0036582F"/>
    <w:rsid w:val="003B2C71"/>
    <w:rsid w:val="003F4010"/>
    <w:rsid w:val="00401FF2"/>
    <w:rsid w:val="00405812"/>
    <w:rsid w:val="00410CB9"/>
    <w:rsid w:val="00420F3F"/>
    <w:rsid w:val="00423B30"/>
    <w:rsid w:val="00450D0A"/>
    <w:rsid w:val="00457192"/>
    <w:rsid w:val="004B68EA"/>
    <w:rsid w:val="004F611E"/>
    <w:rsid w:val="00506C9B"/>
    <w:rsid w:val="005114D6"/>
    <w:rsid w:val="0053600F"/>
    <w:rsid w:val="00575339"/>
    <w:rsid w:val="00575858"/>
    <w:rsid w:val="00581BC6"/>
    <w:rsid w:val="00586370"/>
    <w:rsid w:val="005A25EC"/>
    <w:rsid w:val="005C3014"/>
    <w:rsid w:val="005D1D29"/>
    <w:rsid w:val="005E48FE"/>
    <w:rsid w:val="00622986"/>
    <w:rsid w:val="006617B4"/>
    <w:rsid w:val="006B258C"/>
    <w:rsid w:val="006E5E6F"/>
    <w:rsid w:val="00703D9B"/>
    <w:rsid w:val="0074075C"/>
    <w:rsid w:val="007419DD"/>
    <w:rsid w:val="00771E64"/>
    <w:rsid w:val="00781DA4"/>
    <w:rsid w:val="007B5E12"/>
    <w:rsid w:val="007E7460"/>
    <w:rsid w:val="00805AA6"/>
    <w:rsid w:val="00826505"/>
    <w:rsid w:val="0082774C"/>
    <w:rsid w:val="0085291A"/>
    <w:rsid w:val="00870970"/>
    <w:rsid w:val="00880D3E"/>
    <w:rsid w:val="008A0A79"/>
    <w:rsid w:val="008C374B"/>
    <w:rsid w:val="008C412A"/>
    <w:rsid w:val="008D5945"/>
    <w:rsid w:val="008E241C"/>
    <w:rsid w:val="008F5E11"/>
    <w:rsid w:val="00913325"/>
    <w:rsid w:val="009303AA"/>
    <w:rsid w:val="0093166C"/>
    <w:rsid w:val="00971186"/>
    <w:rsid w:val="009940E6"/>
    <w:rsid w:val="009976BD"/>
    <w:rsid w:val="009B64E7"/>
    <w:rsid w:val="009B742F"/>
    <w:rsid w:val="009D10E0"/>
    <w:rsid w:val="009D404B"/>
    <w:rsid w:val="00A069F0"/>
    <w:rsid w:val="00A21A6F"/>
    <w:rsid w:val="00A50CB8"/>
    <w:rsid w:val="00A67193"/>
    <w:rsid w:val="00A8115B"/>
    <w:rsid w:val="00A9015E"/>
    <w:rsid w:val="00AA34B8"/>
    <w:rsid w:val="00AB509D"/>
    <w:rsid w:val="00AC2E11"/>
    <w:rsid w:val="00AC36E5"/>
    <w:rsid w:val="00AD6499"/>
    <w:rsid w:val="00B22251"/>
    <w:rsid w:val="00B61255"/>
    <w:rsid w:val="00B647AD"/>
    <w:rsid w:val="00B9374C"/>
    <w:rsid w:val="00BA1564"/>
    <w:rsid w:val="00BB3852"/>
    <w:rsid w:val="00BB6488"/>
    <w:rsid w:val="00C01B59"/>
    <w:rsid w:val="00C10632"/>
    <w:rsid w:val="00C82838"/>
    <w:rsid w:val="00C87E79"/>
    <w:rsid w:val="00CA71FC"/>
    <w:rsid w:val="00CB14C9"/>
    <w:rsid w:val="00CD3DBE"/>
    <w:rsid w:val="00CF2CB1"/>
    <w:rsid w:val="00CF5D24"/>
    <w:rsid w:val="00D05342"/>
    <w:rsid w:val="00D22D2D"/>
    <w:rsid w:val="00D3741C"/>
    <w:rsid w:val="00D464F8"/>
    <w:rsid w:val="00D54061"/>
    <w:rsid w:val="00DA5777"/>
    <w:rsid w:val="00DB26D9"/>
    <w:rsid w:val="00DC2A60"/>
    <w:rsid w:val="00E11022"/>
    <w:rsid w:val="00E126CA"/>
    <w:rsid w:val="00E25910"/>
    <w:rsid w:val="00E25BD4"/>
    <w:rsid w:val="00E31743"/>
    <w:rsid w:val="00E62298"/>
    <w:rsid w:val="00E66CC8"/>
    <w:rsid w:val="00E9653A"/>
    <w:rsid w:val="00EA1C9D"/>
    <w:rsid w:val="00EB1723"/>
    <w:rsid w:val="00ED3ADB"/>
    <w:rsid w:val="00EF7EB2"/>
    <w:rsid w:val="00F12B20"/>
    <w:rsid w:val="00F23704"/>
    <w:rsid w:val="00F333FC"/>
    <w:rsid w:val="00F40640"/>
    <w:rsid w:val="00F56A4F"/>
    <w:rsid w:val="00F70722"/>
    <w:rsid w:val="00F72533"/>
    <w:rsid w:val="00FA18B9"/>
    <w:rsid w:val="00FB1E9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3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64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488"/>
    <w:rPr>
      <w:rFonts w:ascii="Lucida Grande CE" w:hAnsi="Lucida Grande CE" w:cs="Lucida Grande CE"/>
      <w:sz w:val="18"/>
      <w:szCs w:val="18"/>
    </w:rPr>
  </w:style>
  <w:style w:type="paragraph" w:styleId="Nincstrkz">
    <w:name w:val="No Spacing"/>
    <w:uiPriority w:val="1"/>
    <w:qFormat/>
    <w:rsid w:val="00E9653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D30F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5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0D0A"/>
  </w:style>
  <w:style w:type="paragraph" w:styleId="llb">
    <w:name w:val="footer"/>
    <w:basedOn w:val="Norml"/>
    <w:link w:val="llbChar"/>
    <w:uiPriority w:val="99"/>
    <w:semiHidden/>
    <w:unhideWhenUsed/>
    <w:rsid w:val="0045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50D0A"/>
  </w:style>
  <w:style w:type="character" w:styleId="Jegyzethivatkozs">
    <w:name w:val="annotation reference"/>
    <w:basedOn w:val="Bekezdsalapbettpusa"/>
    <w:uiPriority w:val="99"/>
    <w:semiHidden/>
    <w:unhideWhenUsed/>
    <w:rsid w:val="00B647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47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47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47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47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33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648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488"/>
    <w:rPr>
      <w:rFonts w:ascii="Lucida Grande CE" w:hAnsi="Lucida Grande CE" w:cs="Lucida Grande CE"/>
      <w:sz w:val="18"/>
      <w:szCs w:val="18"/>
    </w:rPr>
  </w:style>
  <w:style w:type="paragraph" w:styleId="Nincstrkz">
    <w:name w:val="No Spacing"/>
    <w:uiPriority w:val="1"/>
    <w:qFormat/>
    <w:rsid w:val="00E9653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D30F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5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0D0A"/>
  </w:style>
  <w:style w:type="paragraph" w:styleId="llb">
    <w:name w:val="footer"/>
    <w:basedOn w:val="Norml"/>
    <w:link w:val="llbChar"/>
    <w:uiPriority w:val="99"/>
    <w:semiHidden/>
    <w:unhideWhenUsed/>
    <w:rsid w:val="0045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50D0A"/>
  </w:style>
  <w:style w:type="character" w:styleId="Jegyzethivatkozs">
    <w:name w:val="annotation reference"/>
    <w:basedOn w:val="Bekezdsalapbettpusa"/>
    <w:uiPriority w:val="99"/>
    <w:semiHidden/>
    <w:unhideWhenUsed/>
    <w:rsid w:val="00B647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647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47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47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47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rga@targetcom.h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vca@hvca.h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vca.h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D177-9944-4856-9501-472A8E15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Péter</dc:creator>
  <cp:lastModifiedBy>Ibolya Pintér</cp:lastModifiedBy>
  <cp:revision>2</cp:revision>
  <dcterms:created xsi:type="dcterms:W3CDTF">2014-12-09T15:02:00Z</dcterms:created>
  <dcterms:modified xsi:type="dcterms:W3CDTF">2014-12-09T15:02:00Z</dcterms:modified>
</cp:coreProperties>
</file>